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Diagnóstico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Carencia por acceso a servicios de Salud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acuerdo con la última medición de pobreza del Consejo Nacional de Evaluación de la Política de Desarrollo Social (CONEVAL), en 2022, en el estado de Querétaro, el 30.4% de la población, presenta carencia por acceso a servicios de salud. De 2020 a 2022 esta carencia pasó de 20.9% a 30.4%, respectivamente. En términos poblacionales, se sumaron más de 250 mil personas con esta carencia 753,111.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el ranking nacional, el estado se ubica en el lugar trece del ranking nacional con menor porcentaje de personas con esta carencia.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593746" cy="3724247"/>
            <wp:effectExtent b="0" l="0" r="0" t="0"/>
            <wp:docPr id="3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3746" cy="3724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7105015</wp:posOffset>
            </wp:positionH>
            <wp:positionV relativeFrom="paragraph">
              <wp:posOffset>1390650</wp:posOffset>
            </wp:positionV>
            <wp:extent cx="5612130" cy="5582920"/>
            <wp:effectExtent b="0" l="0" r="0" t="0"/>
            <wp:wrapNone/>
            <wp:docPr id="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53768" l="2771" r="37484" t="87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82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6997700</wp:posOffset>
                </wp:positionH>
                <wp:positionV relativeFrom="paragraph">
                  <wp:posOffset>0</wp:posOffset>
                </wp:positionV>
                <wp:extent cx="10132300" cy="1086743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613" y="3241391"/>
                          <a:ext cx="10122775" cy="1077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K Grotesk" w:cs="HK Grotesk" w:eastAsia="HK Grotesk" w:hAnsi="HK Grotesk"/>
                                <w:b w:val="1"/>
                                <w:i w:val="0"/>
                                <w:smallCaps w:val="0"/>
                                <w:strike w:val="0"/>
                                <w:color w:val="242b56"/>
                                <w:sz w:val="64"/>
                                <w:vertAlign w:val="baseline"/>
                              </w:rPr>
                              <w:t xml:space="preserve">Porcentaje de personas con carencia por acceso a servicios de salud por entidades federativas, 2022.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6997700</wp:posOffset>
                </wp:positionH>
                <wp:positionV relativeFrom="paragraph">
                  <wp:posOffset>0</wp:posOffset>
                </wp:positionV>
                <wp:extent cx="10132300" cy="1086743"/>
                <wp:effectExtent b="0" l="0" r="0" t="0"/>
                <wp:wrapNone/>
                <wp:docPr id="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2300" cy="10867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9067800</wp:posOffset>
                </wp:positionV>
                <wp:extent cx="9725025" cy="655856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8250" y="3456835"/>
                          <a:ext cx="9715500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66.99999809265137" w:line="240"/>
                              <w:ind w:left="0" w:right="634.0000152587891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K Grotesk Regular" w:cs="HK Grotesk Regular" w:eastAsia="HK Grotesk Regular" w:hAnsi="HK Grotesk Regular"/>
                                <w:b w:val="1"/>
                                <w:i w:val="0"/>
                                <w:smallCaps w:val="0"/>
                                <w:strike w:val="0"/>
                                <w:color w:val="283f75"/>
                                <w:sz w:val="72"/>
                                <w:vertAlign w:val="baseline"/>
                              </w:rPr>
                              <w:t xml:space="preserve">Lugar 13 en el ranking nacional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9067800</wp:posOffset>
                </wp:positionV>
                <wp:extent cx="9725025" cy="655856"/>
                <wp:effectExtent b="0" l="0" r="0" t="0"/>
                <wp:wrapNone/>
                <wp:docPr id="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5" cy="6558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3009900</wp:posOffset>
                </wp:positionV>
                <wp:extent cx="3180715" cy="24245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65168" y="3668298"/>
                          <a:ext cx="3161665" cy="223405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3009900</wp:posOffset>
                </wp:positionV>
                <wp:extent cx="3180715" cy="242455"/>
                <wp:effectExtent b="0" l="0" r="0" t="0"/>
                <wp:wrapNone/>
                <wp:docPr id="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0715" cy="24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grupos etarios, el mayor porcentaje de población con esta carencia está en la población joven, que comprende de los 18 a 29 años de edad y que es del 23%, seguida del rango de edad que va de los 0 a los 12 años (21%), es decir, niñas, niños y adolescentes; en tercer lugar, se sitúa el grupo de edad de 30 a 40 años (17%), (ver gráfica 2). Si se analiza por sexo, el mayor porcentaje de la carencia se concentra en hombres (51%), en tanto que en las mujeres es menor (49%). 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color w:val="80808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Gráfica 2. Porcentaje de personas con carencia por acceso a los servicios de salud, 2022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                                                                                    Por rango de edad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1677670</wp:posOffset>
            </wp:positionH>
            <wp:positionV relativeFrom="paragraph">
              <wp:posOffset>64135</wp:posOffset>
            </wp:positionV>
            <wp:extent cx="2447925" cy="2473325"/>
            <wp:effectExtent b="0" l="0" r="0" t="0"/>
            <wp:wrapSquare wrapText="bothSides" distB="0" distT="0" distL="114300" distR="114300"/>
            <wp:docPr id="4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13674" r="21474" t="2401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7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Gráfica 3. Porcentaje de personas con carencia por acceso a los servicios de salud, 2022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                                                                                    Por rango de edad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2267868" cy="2677426"/>
            <wp:effectExtent b="0" l="0" r="0" t="0"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7302" r="15351" t="18989"/>
                    <a:stretch>
                      <a:fillRect/>
                    </a:stretch>
                  </pic:blipFill>
                  <pic:spPr>
                    <a:xfrm>
                      <a:off x="0" y="0"/>
                      <a:ext cx="2267868" cy="2677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 análisis por condición laboral, se identifica que el mayor porcentaje de Población Económicamente Activa Ocupada (PEA Ocupada) no cuentan con acceso a seguridad social directa, por ende, no cuentan con el servicio de salud (49%).  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Gráfica 4. Porcentaje de personas con carencia por acceso a los servicios de salud, 2022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color w:val="76717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16"/>
          <w:szCs w:val="16"/>
          <w:rtl w:val="0"/>
        </w:rPr>
        <w:t xml:space="preserve">                                                                                    Por rango de condición laboral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2275621" cy="2685024"/>
            <wp:effectExtent b="0" l="0" r="0" t="0"/>
            <wp:docPr id="3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16543" r="17724" t="21068"/>
                    <a:stretch>
                      <a:fillRect/>
                    </a:stretch>
                  </pic:blipFill>
                  <pic:spPr>
                    <a:xfrm>
                      <a:off x="0" y="0"/>
                      <a:ext cx="2275621" cy="2685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 importante mencionar, que, derivado de la desaparición del Seguro Popular, disminuyó un 58.1% la proporción de la población que reporta tener acceso a servicios de salud en la entidad, sin embargo, desde 2019, en Querétaro se garantiza el derecho a la Salud de forma gratuita a través de los Servicios de Salud del Estado. No obstante, al ser la salud, la carencia en la que se identificó un mayor número de personas y porcentaje de la población en esta situación, se tomó la decisión de iniciar esta estrategia.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Querétaro, el 15.9% de la población en estatal reportó tener acceso a los Servicios de Salud del Estado (6.8 p.p. menos que en 2020). El 33% de las personas sin carencia por acceso a servicios de salud tienen acceso de forma directa. El 35% de la población con carencia por acceso a servicios de salud se encuentra en situación de pobreza y el 5% en situación de pobreza extrema. El 95% de las personas con carencia por acceso a servicios de salud no tienen acceso a seguridad social y el 26% tienen rezago educativo.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2871470" cy="487680"/>
            <wp:effectExtent b="0" l="0" r="0" t="0"/>
            <wp:docPr id="4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487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4133215" cy="1823085"/>
            <wp:effectExtent b="0" l="0" r="0" t="0"/>
            <wp:docPr id="4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1823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la población con otras care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4462780" cy="1438910"/>
            <wp:effectExtent b="0" l="0" r="0" t="0"/>
            <wp:docPr id="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1438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lo anterior, la estrategia Tarjeta Salud Contigo, tiene como objetivos: disminuir el número de personas con carencia por acceso a los servicios de Salud, reducir la brecha en los servicios de salud de las personas sin seguridad social en el estado y difundir información sobre los servicios de salud a los derechohabientes de otros sistemas de salud que desconocen su derecho.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lograrlo, y con la finalidad de tener un mayor impacto en la población que carece de acceso a servicios de salud, se realizó análisis de gabinete de la siguiente información pública disponible a nivel localidad y colonia: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través del Índice de Marginación del Consejo Nacional de Población (CONAPO), se identificaron las colonias y localidades con mayor número de personas con carencia por acceso a servicios de salud. Fuente de información, disponible en: </w:t>
      </w:r>
      <w:hyperlink r:id="rId1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https://www.gob.mx/conapo/documentos/indices-de-marginacion-2020-284372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identificaron las colonias y localidades con mayor concentración poblacional para la ejecución de la estrategia.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sumaron colonias contiguas a aquellas que registraron un mayor número de población con carencia por acceso a los servicios de salud.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Derivado de la aplicación consecutiva de cada uno de los criterios antes mencionados, en una primera etapa, se focalizó la ejecución de la estrategia en los siguientes municipios, colonias y/o localidades de atención prioritaria:</w:t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Tabla 1. Resumen de localidades y/o colonias de atención prioritaria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Estrategia Tarjeta Salud Contigo</w:t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Primer etapa</w:t>
      </w:r>
    </w:p>
    <w:tbl>
      <w:tblPr>
        <w:tblStyle w:val="Table1"/>
        <w:tblW w:w="5300.0" w:type="dxa"/>
        <w:jc w:val="center"/>
        <w:tblLayout w:type="fixed"/>
        <w:tblLook w:val="0400"/>
      </w:tblPr>
      <w:tblGrid>
        <w:gridCol w:w="660"/>
        <w:gridCol w:w="2200"/>
        <w:gridCol w:w="2440"/>
        <w:tblGridChange w:id="0">
          <w:tblGrid>
            <w:gridCol w:w="660"/>
            <w:gridCol w:w="2200"/>
            <w:gridCol w:w="24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05496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0549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MUNICIPIO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0549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NÚMERO DE COLONIAS/LOCALIDADES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Santiago de Querétaro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San Juan del Río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El Marqués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Corregidora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Tequisquiapan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Pedro Escobedo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Cadereyta de Montes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Ezequiel Montes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Huimilpan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05496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05496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307</w:t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Fuente: Índice de Marginación, CONAPO, 2020.</w:t>
      </w:r>
    </w:p>
    <w:p w:rsidR="00000000" w:rsidDel="00000000" w:rsidP="00000000" w:rsidRDefault="00000000" w:rsidRPr="00000000" w14:paraId="00000071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Tabla 2. Listado de localidades y/o colonias de atención prioritaria</w:t>
      </w:r>
    </w:p>
    <w:p w:rsidR="00000000" w:rsidDel="00000000" w:rsidP="00000000" w:rsidRDefault="00000000" w:rsidRPr="00000000" w14:paraId="00000085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Estrategia Tarjeta Salud Contigo</w:t>
      </w:r>
    </w:p>
    <w:p w:rsidR="00000000" w:rsidDel="00000000" w:rsidP="00000000" w:rsidRDefault="00000000" w:rsidRPr="00000000" w14:paraId="00000086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Primer etapa</w:t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4.0" w:type="dxa"/>
        <w:jc w:val="left"/>
        <w:tblLayout w:type="fixed"/>
        <w:tblLook w:val="0400"/>
      </w:tblPr>
      <w:tblGrid>
        <w:gridCol w:w="3392"/>
        <w:gridCol w:w="4962"/>
        <w:tblGridChange w:id="0">
          <w:tblGrid>
            <w:gridCol w:w="3392"/>
            <w:gridCol w:w="4962"/>
          </w:tblGrid>
        </w:tblGridChange>
      </w:tblGrid>
      <w:tr>
        <w:trPr>
          <w:cantSplit w:val="0"/>
          <w:trHeight w:val="18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MUNICIPIO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COLONIA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SANTIAGO DE QUERÉTARO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Montenegro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Hacienda Santa Rosa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Fraccionamiento Montenegro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Puerto de Aguirre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Pinto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Estacada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Jofrito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Palo Alto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Gotera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Versolilla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Luz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Barreta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Buenavista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Pie de Gallo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Miguelito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Pedregal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Haciendita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del Mesón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Cumbre del Lago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Jurica San Francisco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Nabo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Tlacote El Bajo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María Magdalena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Antonio de La Punta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Ejido Modelo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Valle de Santiago Sector 3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Valle de Santiago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Sol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Rancho Bellavista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Tintero (Plutarco Elías Calles)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Tintero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Mónica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Mónica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Las Teresas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Felipe Carrillo Puerto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Gobernantes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Jurica (pueblo)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Jurica (fraccionamiento)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Campana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Paseos de San Miguel (San Miguel)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Romerillal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Revolución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Bonita (colonia)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Bonita (ampliación)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de Guadalupe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Satélite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Cerrito Colorado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Loma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Geovillas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Geoplazas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Garambullo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Fundadores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Insurgentes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Sauces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Rocío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Laderas de San Pedro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Colinas de Santa Cruz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Pedro Mártir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Colinas de Santa Cruz 1A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Obrera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Granjenal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Paseos del Pedregal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de Santiago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Vergel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Pedrito Los Arcos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Lomas de San Pedrito Peñuelas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Pedrito Peñuelas I El Carmen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Pedrito Peñuelas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Sabino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Peñuelas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del Parque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Desarrollo San Pablo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Las Américas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Refugio Residencial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El Alto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 Hermosa de San José El Alto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Menchaca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Pablo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Catarina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Lindavista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Tepetate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Trinidad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Niños Héroes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Cruz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Francisquito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Carretas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Quintas del Marqués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Marqués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Las Misiones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Casa Blanca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Bolaños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Campanario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Lomas del Marqués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Hércules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Dorada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Milenio 3A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Joya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Jardines de La Hacienda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Lomas de Casa Blanca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Reforma Agraria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Vistas del Cimatario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Marqués Queretano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Lázaro Cárdenas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Comerciantes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 Alegre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 Alegre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Plazas del Sol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Colinas del Cimatario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 Sur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JUAN DEL RÍO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Cazadero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Puerta de Palmillas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Paso de Mata Zona VII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Alta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Fundadores (Fraccionamiento)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Fundadores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Cerro Gordo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Hacienda San Juan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Banthi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Granjas Banthi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INDECO (Pedregoso Comevi Banthi)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Lomas de San Juan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de San Juan Sección Campestre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México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Infonavit Pedregoso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Cayetano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Cayetano 3A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Ampliación Santa Cruz Nieto (La Loma)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Praderas del Sol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Paz (La Floresta)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Jardines del Valle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Infonavit La Paz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Cruz Nieto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Fátima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Benito Juárez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 La Concepción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Del Nuevo Espíritu Santo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Nuevo San Isidro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Bosques de San Juan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Isidro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Pedro Ahuacatlán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Rosa Xajay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Valla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Llave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Vistha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Matilde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Estancia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Organal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Cruz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Sebastián de las Barrancas Norte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Dolores Cuadrilla de Enmedio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Casa Blanca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Linda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Rosario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Senegal de las Palomas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Arcila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Galindo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MARQUÉS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Tierra Blanca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Chichimequillas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María Begoña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Vicente Ferrer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Pradera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Cruz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Atongo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Alfajayucan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Amazcala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Isidro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Griega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 de La Griega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Navajas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Cerrito Colorado (La Curva)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Jesús María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Encinos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Hacienda La Cruz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Fe Libertadores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Saldarriaga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Cañada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Agua Azul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Coyotillos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Paseos del Marques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Colinas de la Piedad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La Piedad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Rosario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General Lázaro Cárdenas (El Colorado)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Calamanda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Piedad (San Miguel Colorado)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Real Solare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Rincones del Marqués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Isidro Miranda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CORREGIDORA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Lomas de Balvanera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Ángeles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Negreta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Barbara 1A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Barbara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Olvera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Paseos del Bosque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Santuarios Residencial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Pueblito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Emiliano Zapata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Tejeda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de Los Olvera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Jaral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Bravo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Cueva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Candiles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Camino Real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Valle Real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Diamante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Venceremos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Cumbres del Roble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Colinas del Sur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TEQUISQUIAPAN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Nicolás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Fuentezuelas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Sauz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Tejocote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Cerritos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Bordo Blanco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Adolfo López Mateos 2A Sección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Magdalena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Tierra Blanca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Claustros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Villas del Sol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Adolfo López Mateos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 Hermosa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Juan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 Los Tepetates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Fuente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Vista Hermosa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Cañadita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Hacienda Grande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Pedregal de Hacienda Grande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Tortuga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Laja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de la Laja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PEDRO ESCOBEDO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Ajuchitlancito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Sauz Alto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Epigmenio González (El Ahorcado)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Chalmita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Fandila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Venta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Barbara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Chamizal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Girasoles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Guadalupe Septién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Sauz Bajo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Presa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Pinos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Tepetate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Dolores de Ajuchitlancito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Palma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Venta de Ajuchitlancito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COLÓN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Esperanza (Nueva Esperanza)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Ajuchitlán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Ildefonso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Rosario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Blanco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Galeras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Soriano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Galeras (El Potrero)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Gallo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Urecho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Purísima de Cubos (La Purísima)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Martín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Lindero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la Peñuela (La Peñuela)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CADEREYTA DE MONTES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Magdalena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Fuentes Y Pueblo Nuevo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Gaspar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Diego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Refugio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Villa Guerrero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Palmar (Santa María del Palmar)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Boxasní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Boyé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Vizarrón de Montes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Martín Florida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Javier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Rincón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EZEQUIEL MONTES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Santa María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Queretana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Laguna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Miguel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Bola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Presa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Los Ángeles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Bernal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Nueva Unidad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Ciervo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José del Jagüey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HUIMILPAN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Lagunillas (Santa Adelaida)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Vegil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Centro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Las Taponas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La Ceja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Huimilpan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San Pedro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El Milagro</w:t>
            </w:r>
          </w:p>
        </w:tc>
      </w:tr>
    </w:tbl>
    <w:p w:rsidR="00000000" w:rsidDel="00000000" w:rsidP="00000000" w:rsidRDefault="00000000" w:rsidRPr="00000000" w14:paraId="000002F0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-447674</wp:posOffset>
          </wp:positionV>
          <wp:extent cx="7496175" cy="10042208"/>
          <wp:effectExtent b="0" l="0" r="0" t="0"/>
          <wp:wrapNone/>
          <wp:docPr id="40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6175" cy="100422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A6146B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A6146B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A6146B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A6146B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E169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E169D"/>
  </w:style>
  <w:style w:type="paragraph" w:styleId="Piedepgina">
    <w:name w:val="footer"/>
    <w:basedOn w:val="Normal"/>
    <w:link w:val="PiedepginaCar"/>
    <w:uiPriority w:val="99"/>
    <w:unhideWhenUsed w:val="1"/>
    <w:rsid w:val="00EE169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E169D"/>
  </w:style>
  <w:style w:type="character" w:styleId="Hipervnculo">
    <w:name w:val="Hyperlink"/>
    <w:basedOn w:val="Fuentedeprrafopredeter"/>
    <w:uiPriority w:val="99"/>
    <w:unhideWhenUsed w:val="1"/>
    <w:rsid w:val="00743B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743B26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8F346D"/>
    <w:pPr>
      <w:ind w:left="720"/>
      <w:contextualSpacing w:val="1"/>
    </w:pPr>
  </w:style>
  <w:style w:type="paragraph" w:styleId="Sinespaciado">
    <w:name w:val="No Spacing"/>
    <w:uiPriority w:val="1"/>
    <w:qFormat w:val="1"/>
    <w:rsid w:val="00EF2981"/>
  </w:style>
  <w:style w:type="character" w:styleId="Ttulo1Car" w:customStyle="1">
    <w:name w:val="Título 1 Car"/>
    <w:basedOn w:val="Fuentedeprrafopredeter"/>
    <w:link w:val="Ttulo1"/>
    <w:uiPriority w:val="9"/>
    <w:rsid w:val="00A6146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A6146B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A6146B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Ttulo4Car" w:customStyle="1">
    <w:name w:val="Título 4 Car"/>
    <w:basedOn w:val="Fuentedeprrafopredeter"/>
    <w:link w:val="Ttulo4"/>
    <w:uiPriority w:val="9"/>
    <w:rsid w:val="00A6146B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Encabezadodemensaje">
    <w:name w:val="Message Header"/>
    <w:basedOn w:val="Normal"/>
    <w:link w:val="EncabezadodemensajeCar"/>
    <w:uiPriority w:val="99"/>
    <w:unhideWhenUsed w:val="1"/>
    <w:rsid w:val="00A6146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Theme="majorHAnsi" w:cstheme="majorBidi" w:eastAsiaTheme="majorEastAsia" w:hAnsiTheme="majorHAnsi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rsid w:val="00A6146B"/>
    <w:rPr>
      <w:rFonts w:asciiTheme="majorHAnsi" w:cstheme="majorBidi" w:eastAsiaTheme="majorEastAsia" w:hAnsiTheme="majorHAnsi"/>
      <w:shd w:color="auto" w:fill="auto" w:val="pct20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A6146B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6146B"/>
  </w:style>
  <w:style w:type="paragraph" w:styleId="Sangradetextonormal">
    <w:name w:val="Body Text Indent"/>
    <w:basedOn w:val="Normal"/>
    <w:link w:val="SangradetextonormalCar"/>
    <w:uiPriority w:val="99"/>
    <w:semiHidden w:val="1"/>
    <w:unhideWhenUsed w:val="1"/>
    <w:rsid w:val="00A6146B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rsid w:val="00A6146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 w:val="1"/>
    <w:rsid w:val="00A6146B"/>
    <w:pPr>
      <w:spacing w:after="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rsid w:val="00A6146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11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3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gob.mx/conapo/documentos/indices-de-marginacion-2020-284372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KRZDrdD8R8gInVeSXrJjE0Lsw==">CgMxLjA4AHIhMURyM0IzeHhGYUc2czlxa1hTeTVGcW5BQ0V0Vi12bmNw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2024-03-15T16:35:00Z</dcterms:created>
  <dc:creator>Microsoft Office User</dc:creator>
</cp:coreProperties>
</file>